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40"/>
        </w:rPr>
      </w:pPr>
      <w:r w:rsidRPr="005C7C13">
        <w:rPr>
          <w:rFonts w:ascii="Gill Sans MT" w:hAnsi="Gill Sans MT"/>
          <w:sz w:val="40"/>
        </w:rPr>
        <w:t>SECOND TERM</w:t>
      </w:r>
    </w:p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  <w:r w:rsidRPr="005C7C13">
        <w:rPr>
          <w:rFonts w:ascii="Gill Sans MT" w:hAnsi="Gill Sans MT"/>
          <w:sz w:val="32"/>
        </w:rPr>
        <w:t>WEEKLY LESSON NOTES – B9</w:t>
      </w:r>
    </w:p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  <w:r w:rsidRPr="005C7C13">
        <w:rPr>
          <w:rFonts w:ascii="Gill Sans MT" w:hAnsi="Gill Sans MT"/>
          <w:sz w:val="32"/>
        </w:rPr>
        <w:t>WEEK 4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1800"/>
        <w:gridCol w:w="1206"/>
        <w:gridCol w:w="395"/>
        <w:gridCol w:w="1986"/>
        <w:gridCol w:w="709"/>
        <w:gridCol w:w="1275"/>
        <w:gridCol w:w="989"/>
        <w:gridCol w:w="910"/>
      </w:tblGrid>
      <w:tr w:rsidR="00EF5B8E" w:rsidRPr="005C7C13" w:rsidTr="00C35E4C">
        <w:trPr>
          <w:trHeight w:val="350"/>
        </w:trPr>
        <w:tc>
          <w:tcPr>
            <w:tcW w:w="3006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81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83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C7C1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F5B8E" w:rsidRPr="005C7C13" w:rsidTr="00C35E4C">
        <w:trPr>
          <w:trHeight w:val="359"/>
        </w:trPr>
        <w:tc>
          <w:tcPr>
            <w:tcW w:w="5387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C7C1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883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C7C13">
              <w:rPr>
                <w:rFonts w:ascii="Gill Sans MT" w:hAnsi="Gill Sans MT" w:cs="Tahoma"/>
              </w:rPr>
              <w:t>Oral Language</w:t>
            </w:r>
          </w:p>
        </w:tc>
      </w:tr>
      <w:tr w:rsidR="00EF5B8E" w:rsidRPr="005C7C13" w:rsidTr="00C35E4C">
        <w:trPr>
          <w:trHeight w:val="341"/>
        </w:trPr>
        <w:tc>
          <w:tcPr>
            <w:tcW w:w="3006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C7C13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81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83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C7C13">
              <w:rPr>
                <w:rFonts w:ascii="Gill Sans MT" w:hAnsi="Gill Sans MT"/>
              </w:rPr>
              <w:t>Listening Comprehension</w:t>
            </w:r>
          </w:p>
        </w:tc>
      </w:tr>
      <w:tr w:rsidR="00EF5B8E" w:rsidRPr="005C7C13" w:rsidTr="00C35E4C">
        <w:trPr>
          <w:trHeight w:val="474"/>
        </w:trPr>
        <w:tc>
          <w:tcPr>
            <w:tcW w:w="3401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/>
              </w:rPr>
              <w:t>B9.1.2.1: Demonstrate the ability to listen to extended reading and identify key information</w:t>
            </w:r>
          </w:p>
        </w:tc>
        <w:tc>
          <w:tcPr>
            <w:tcW w:w="4959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B9.1.2.1.1 Listen to audio-visual texts attentively and support ideas with vocabulary/ language/figures</w:t>
            </w:r>
          </w:p>
        </w:tc>
        <w:tc>
          <w:tcPr>
            <w:tcW w:w="910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F5B8E" w:rsidRPr="005C7C13" w:rsidTr="00C35E4C">
        <w:trPr>
          <w:trHeight w:val="494"/>
        </w:trPr>
        <w:tc>
          <w:tcPr>
            <w:tcW w:w="6096" w:type="dxa"/>
            <w:gridSpan w:val="5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</w:rPr>
              <w:t>Learners can practice attentive listening to audio-visual texts and enhance their ability to support ideas with appropriate vocabulary, language, and figures.</w:t>
            </w:r>
          </w:p>
        </w:tc>
        <w:tc>
          <w:tcPr>
            <w:tcW w:w="3174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EF5B8E" w:rsidRPr="005C7C13" w:rsidTr="00C35E4C">
        <w:trPr>
          <w:trHeight w:val="332"/>
        </w:trPr>
        <w:tc>
          <w:tcPr>
            <w:tcW w:w="9270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5C7C13">
              <w:rPr>
                <w:rFonts w:ascii="Gill Sans MT" w:hAnsi="Gill Sans MT" w:cs="Tahoma"/>
              </w:rPr>
              <w:t>English Language Pg.</w:t>
            </w:r>
            <w:r w:rsidRPr="005C7C13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C7C13">
              <w:rPr>
                <w:rFonts w:ascii="Gill Sans MT" w:hAnsi="Gill Sans MT" w:cs="Tahoma"/>
                <w:sz w:val="20"/>
              </w:rPr>
              <w:t>72</w:t>
            </w:r>
          </w:p>
        </w:tc>
      </w:tr>
      <w:tr w:rsidR="00EF5B8E" w:rsidRPr="005C7C13" w:rsidTr="00C35E4C">
        <w:trPr>
          <w:trHeight w:val="332"/>
        </w:trPr>
        <w:tc>
          <w:tcPr>
            <w:tcW w:w="9270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5C7C13">
              <w:rPr>
                <w:rFonts w:ascii="Gill Sans MT" w:hAnsi="Gill Sans MT" w:cs="Tahoma"/>
              </w:rPr>
              <w:t>Attentive Listening</w:t>
            </w:r>
            <w:r w:rsidRPr="005C7C13">
              <w:rPr>
                <w:rFonts w:ascii="Gill Sans MT" w:hAnsi="Gill Sans MT" w:cs="Tahoma"/>
                <w:b/>
                <w:sz w:val="20"/>
              </w:rPr>
              <w:t xml:space="preserve">, </w:t>
            </w:r>
            <w:r w:rsidRPr="005C7C13">
              <w:rPr>
                <w:rFonts w:ascii="Gill Sans MT" w:hAnsi="Gill Sans MT" w:cs="Tahoma"/>
              </w:rPr>
              <w:t>vocabulary, language, figures</w:t>
            </w:r>
          </w:p>
        </w:tc>
      </w:tr>
      <w:tr w:rsidR="00EF5B8E" w:rsidRPr="005C7C13" w:rsidTr="00C35E4C">
        <w:tc>
          <w:tcPr>
            <w:tcW w:w="9270" w:type="dxa"/>
            <w:gridSpan w:val="8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c>
          <w:tcPr>
            <w:tcW w:w="1800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Phase/Duration</w:t>
            </w:r>
          </w:p>
        </w:tc>
        <w:tc>
          <w:tcPr>
            <w:tcW w:w="5571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9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Resources</w:t>
            </w:r>
          </w:p>
        </w:tc>
      </w:tr>
      <w:tr w:rsidR="00EF5B8E" w:rsidRPr="005C7C13" w:rsidTr="00C35E4C">
        <w:trPr>
          <w:trHeight w:val="1403"/>
        </w:trPr>
        <w:tc>
          <w:tcPr>
            <w:tcW w:w="1800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1: </w:t>
            </w:r>
            <w:r w:rsidRPr="005C7C1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571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Begin the lesson with an interactive and engaging starter. Play a short, intriguing audio clip without revealing the visuals.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share their initial thoughts and emotions. Encourage them to use descriptive words to express their reactions.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Discuss as a class, emphasizing the importance of using precise vocabulary to convey feelings and impressions.</w:t>
            </w:r>
          </w:p>
        </w:tc>
        <w:tc>
          <w:tcPr>
            <w:tcW w:w="1899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rPr>
          <w:trHeight w:val="980"/>
        </w:trPr>
        <w:tc>
          <w:tcPr>
            <w:tcW w:w="1800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2: </w:t>
            </w:r>
            <w:r w:rsidRPr="005C7C1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71" w:type="dxa"/>
            <w:gridSpan w:val="5"/>
          </w:tcPr>
          <w:p w:rsidR="00EF5B8E" w:rsidRPr="005C7C13" w:rsidRDefault="00EF5B8E" w:rsidP="00C35E4C">
            <w:pPr>
              <w:pStyle w:val="Default"/>
            </w:pPr>
            <w:r w:rsidRPr="005C7C13">
              <w:t xml:space="preserve">Play a short video or audio clip with rich content. Ask </w:t>
            </w:r>
            <w:r>
              <w:t>learners</w:t>
            </w:r>
            <w:r w:rsidRPr="005C7C13">
              <w:t xml:space="preserve"> to listen attentively and take notes on key points.</w:t>
            </w:r>
          </w:p>
          <w:p w:rsidR="00EF5B8E" w:rsidRPr="005C7C13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</w:pPr>
            <w:r w:rsidRPr="005C7C13">
              <w:t xml:space="preserve">Collaboratively create a list of vocabulary words and phrases that could be used to describe the content. </w:t>
            </w:r>
          </w:p>
          <w:p w:rsidR="00EF5B8E" w:rsidRPr="005C7C13" w:rsidRDefault="00EF5B8E" w:rsidP="00C35E4C">
            <w:pPr>
              <w:pStyle w:val="Default"/>
            </w:pPr>
            <w:r w:rsidRPr="005C7C13">
              <w:br/>
              <w:t>Discuss the impact of precise language on understanding and interpretation.</w:t>
            </w:r>
          </w:p>
          <w:p w:rsidR="00EF5B8E" w:rsidRPr="005C7C13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</w:pPr>
            <w:r w:rsidRPr="005C7C13">
              <w:t>Introduce figures of speech (e.g., similes, metaphors) and discuss their role in enhancing language. Identify figures of speech used in the audio-visual content.</w:t>
            </w:r>
          </w:p>
          <w:p w:rsidR="00EF5B8E" w:rsidRPr="005C7C13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</w:pPr>
            <w:r w:rsidRPr="005C7C13">
              <w:t xml:space="preserve">In pairs or small groups, ask </w:t>
            </w:r>
            <w:r>
              <w:t>learners</w:t>
            </w:r>
            <w:r w:rsidRPr="005C7C13">
              <w:t xml:space="preserve"> to discuss the audio-visual content, supporting their ideas with vocabulary and figures of speech. </w:t>
            </w:r>
          </w:p>
          <w:p w:rsidR="00EF5B8E" w:rsidRPr="005C7C13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</w:pPr>
            <w:r w:rsidRPr="005C7C13">
              <w:t>Encourage peer-to-peer sharing.</w:t>
            </w:r>
          </w:p>
          <w:p w:rsidR="00EF5B8E" w:rsidRPr="005C7C13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  <w:rPr>
                <w:u w:val="single"/>
              </w:rPr>
            </w:pPr>
            <w:r w:rsidRPr="005C7C13">
              <w:rPr>
                <w:u w:val="single"/>
              </w:rPr>
              <w:t xml:space="preserve">Assessment </w:t>
            </w:r>
          </w:p>
          <w:p w:rsidR="00EF5B8E" w:rsidRDefault="00EF5B8E" w:rsidP="00C35E4C">
            <w:pPr>
              <w:pStyle w:val="Default"/>
            </w:pPr>
            <w:r w:rsidRPr="005C7C13">
              <w:t xml:space="preserve">Play another audio-visual clip along with a list of questions. </w:t>
            </w:r>
          </w:p>
          <w:p w:rsidR="00EF5B8E" w:rsidRDefault="00EF5B8E" w:rsidP="00C35E4C">
            <w:pPr>
              <w:pStyle w:val="Default"/>
            </w:pPr>
          </w:p>
          <w:p w:rsidR="00EF5B8E" w:rsidRPr="005C7C13" w:rsidRDefault="00EF5B8E" w:rsidP="00C35E4C">
            <w:pPr>
              <w:pStyle w:val="Default"/>
            </w:pPr>
            <w:r>
              <w:t>Learners</w:t>
            </w:r>
            <w:r w:rsidRPr="005C7C13">
              <w:t xml:space="preserve"> should listen attentively and respond to the questions, incorporating appropriate vocabulary and figures of speech in their answers</w:t>
            </w:r>
          </w:p>
        </w:tc>
        <w:tc>
          <w:tcPr>
            <w:tcW w:w="1899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theme="minorHAnsi"/>
                <w:szCs w:val="24"/>
              </w:rPr>
              <w:lastRenderedPageBreak/>
              <w:t>Audio-visual content (short video, podcast, or audio clip)</w:t>
            </w:r>
          </w:p>
        </w:tc>
      </w:tr>
      <w:tr w:rsidR="00EF5B8E" w:rsidRPr="005C7C13" w:rsidTr="00C35E4C">
        <w:trPr>
          <w:trHeight w:val="917"/>
        </w:trPr>
        <w:tc>
          <w:tcPr>
            <w:tcW w:w="1800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3: </w:t>
            </w:r>
            <w:r w:rsidRPr="005C7C1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71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99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</w:tbl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</w:p>
    <w:p w:rsidR="00EF5B8E" w:rsidRPr="005C7C13" w:rsidRDefault="00EF5B8E" w:rsidP="00EF5B8E">
      <w:pPr>
        <w:rPr>
          <w:rFonts w:ascii="Gill Sans MT" w:hAnsi="Gill Sans MT"/>
          <w:sz w:val="32"/>
        </w:rPr>
      </w:pPr>
      <w:r w:rsidRPr="005C7C13">
        <w:rPr>
          <w:rFonts w:ascii="Gill Sans MT" w:hAnsi="Gill Sans MT"/>
          <w:sz w:val="32"/>
        </w:rPr>
        <w:br w:type="page"/>
      </w:r>
    </w:p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055"/>
        <w:gridCol w:w="952"/>
        <w:gridCol w:w="679"/>
        <w:gridCol w:w="1574"/>
        <w:gridCol w:w="552"/>
        <w:gridCol w:w="1658"/>
        <w:gridCol w:w="630"/>
        <w:gridCol w:w="1256"/>
      </w:tblGrid>
      <w:tr w:rsidR="00EF5B8E" w:rsidRPr="005C7C13" w:rsidTr="00C35E4C">
        <w:trPr>
          <w:trHeight w:val="350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9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C7C1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F5B8E" w:rsidRPr="005C7C13" w:rsidTr="00C35E4C">
        <w:trPr>
          <w:trHeight w:val="359"/>
        </w:trPr>
        <w:tc>
          <w:tcPr>
            <w:tcW w:w="5260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C7C1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9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C7C13">
              <w:rPr>
                <w:rFonts w:ascii="Gill Sans MT" w:hAnsi="Gill Sans MT" w:cs="Tahoma"/>
              </w:rPr>
              <w:t>Reading</w:t>
            </w:r>
          </w:p>
        </w:tc>
      </w:tr>
      <w:tr w:rsidR="00EF5B8E" w:rsidRPr="005C7C13" w:rsidTr="00C35E4C">
        <w:trPr>
          <w:trHeight w:val="341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C7C13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9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C7C13">
              <w:rPr>
                <w:rFonts w:ascii="Gill Sans MT" w:hAnsi="Gill Sans MT"/>
              </w:rPr>
              <w:t>Comprehension</w:t>
            </w:r>
          </w:p>
        </w:tc>
      </w:tr>
      <w:tr w:rsidR="00EF5B8E" w:rsidRPr="005C7C13" w:rsidTr="00C35E4C">
        <w:trPr>
          <w:trHeight w:val="474"/>
        </w:trPr>
        <w:tc>
          <w:tcPr>
            <w:tcW w:w="3686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/>
              </w:rPr>
              <w:t>B9.2.1.2: Read, comprehend, and analyze varieties of texts</w:t>
            </w:r>
          </w:p>
        </w:tc>
        <w:tc>
          <w:tcPr>
            <w:tcW w:w="441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B9.2.1.2.2 Make predictions, identify patterns and relationships of ideas to analyze texts</w:t>
            </w:r>
          </w:p>
        </w:tc>
        <w:tc>
          <w:tcPr>
            <w:tcW w:w="1256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F5B8E" w:rsidRPr="005C7C13" w:rsidTr="00C35E4C">
        <w:trPr>
          <w:trHeight w:val="494"/>
        </w:trPr>
        <w:tc>
          <w:tcPr>
            <w:tcW w:w="5812" w:type="dxa"/>
            <w:gridSpan w:val="5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Learners can enhance their reading comprehension skills by using prediction, identifying patterns and relationships between ideas, and creating a summary of the main ideas.</w:t>
            </w:r>
          </w:p>
        </w:tc>
        <w:tc>
          <w:tcPr>
            <w:tcW w:w="3544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EF5B8E" w:rsidRPr="005C7C13" w:rsidTr="00C35E4C">
        <w:trPr>
          <w:trHeight w:val="332"/>
        </w:trPr>
        <w:tc>
          <w:tcPr>
            <w:tcW w:w="9356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5C7C13">
              <w:rPr>
                <w:rFonts w:ascii="Gill Sans MT" w:hAnsi="Gill Sans MT" w:cs="Tahoma"/>
              </w:rPr>
              <w:t>English Language Pg.</w:t>
            </w:r>
            <w:r w:rsidRPr="005C7C13">
              <w:rPr>
                <w:rFonts w:ascii="Gill Sans MT" w:hAnsi="Gill Sans MT" w:cs="Tahoma"/>
                <w:b/>
                <w:sz w:val="20"/>
              </w:rPr>
              <w:t xml:space="preserve"> 81</w:t>
            </w:r>
          </w:p>
        </w:tc>
      </w:tr>
      <w:tr w:rsidR="00EF5B8E" w:rsidRPr="005C7C13" w:rsidTr="00C35E4C">
        <w:trPr>
          <w:trHeight w:val="332"/>
        </w:trPr>
        <w:tc>
          <w:tcPr>
            <w:tcW w:w="9356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5C7C13">
              <w:rPr>
                <w:rFonts w:ascii="Gill Sans MT" w:hAnsi="Gill Sans MT"/>
              </w:rPr>
              <w:t>Prediction, relationships, patterns, peer edit, Summary</w:t>
            </w:r>
          </w:p>
        </w:tc>
      </w:tr>
      <w:tr w:rsidR="00EF5B8E" w:rsidRPr="005C7C13" w:rsidTr="00C35E4C">
        <w:tc>
          <w:tcPr>
            <w:tcW w:w="9356" w:type="dxa"/>
            <w:gridSpan w:val="8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c>
          <w:tcPr>
            <w:tcW w:w="205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6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Resources</w:t>
            </w:r>
          </w:p>
        </w:tc>
      </w:tr>
      <w:tr w:rsidR="00EF5B8E" w:rsidRPr="005C7C13" w:rsidTr="00C35E4C">
        <w:trPr>
          <w:trHeight w:val="971"/>
        </w:trPr>
        <w:tc>
          <w:tcPr>
            <w:tcW w:w="205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1: </w:t>
            </w:r>
            <w:r w:rsidRPr="005C7C1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Start the lesson with a thought-provoking question related to the set text.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For example, if the text is about space exploration, you might ask, "What do you think are the most significant discoveries in space exploration, and why?"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Introduce the topic and share performance indicators with learners</w:t>
            </w:r>
          </w:p>
        </w:tc>
        <w:tc>
          <w:tcPr>
            <w:tcW w:w="1886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rPr>
          <w:trHeight w:val="558"/>
        </w:trPr>
        <w:tc>
          <w:tcPr>
            <w:tcW w:w="205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2: </w:t>
            </w:r>
            <w:r w:rsidRPr="005C7C1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 xml:space="preserve">Provide the set text to </w:t>
            </w:r>
            <w:r>
              <w:rPr>
                <w:sz w:val="22"/>
                <w:szCs w:val="22"/>
              </w:rPr>
              <w:t>learners</w:t>
            </w:r>
            <w:r w:rsidRPr="005C7C13">
              <w:rPr>
                <w:sz w:val="22"/>
                <w:szCs w:val="22"/>
              </w:rPr>
              <w:t xml:space="preserve"> and guide them in making predictions about the content based on the title, headings, and any introductory information.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 xml:space="preserve">Read a portion of the text together as a class, highlighting patterns and relationships between ideas.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>Model how to identify main ideas and supporting details.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 xml:space="preserve">Break </w:t>
            </w:r>
            <w:r>
              <w:rPr>
                <w:sz w:val="22"/>
                <w:szCs w:val="22"/>
              </w:rPr>
              <w:t>learners</w:t>
            </w:r>
            <w:r w:rsidRPr="005C7C13">
              <w:rPr>
                <w:sz w:val="22"/>
                <w:szCs w:val="22"/>
              </w:rPr>
              <w:t xml:space="preserve"> into small groups and assign each group a section of the text. 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 xml:space="preserve">Have them analyze their section, focusing on patterns and relationships.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>Each group will then present their findings to the class.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>Facilitate a class discussion to synthesize the main ideas and create a collective summary on the whiteboard.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t xml:space="preserve">Ask </w:t>
            </w:r>
            <w:r>
              <w:rPr>
                <w:sz w:val="22"/>
                <w:szCs w:val="22"/>
              </w:rPr>
              <w:t>learners</w:t>
            </w:r>
            <w:r w:rsidRPr="005C7C13">
              <w:rPr>
                <w:sz w:val="22"/>
                <w:szCs w:val="22"/>
              </w:rPr>
              <w:t xml:space="preserve"> to individually create a summary of the set text using the information discussed in class.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  <w:szCs w:val="22"/>
              </w:rPr>
            </w:pPr>
            <w:r w:rsidRPr="005C7C13">
              <w:rPr>
                <w:sz w:val="22"/>
                <w:szCs w:val="22"/>
              </w:rPr>
              <w:lastRenderedPageBreak/>
              <w:t>Encourage them to incorporate patterns and relationships between ideas.</w:t>
            </w:r>
          </w:p>
        </w:tc>
        <w:tc>
          <w:tcPr>
            <w:tcW w:w="1886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EF5B8E" w:rsidRPr="005C7C13" w:rsidTr="00C35E4C">
        <w:trPr>
          <w:trHeight w:val="1052"/>
        </w:trPr>
        <w:tc>
          <w:tcPr>
            <w:tcW w:w="205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3: </w:t>
            </w:r>
            <w:r w:rsidRPr="005C7C1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86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</w:tbl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</w:p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</w:p>
    <w:p w:rsidR="00EF5B8E" w:rsidRPr="005C7C13" w:rsidRDefault="00EF5B8E" w:rsidP="00EF5B8E">
      <w:pPr>
        <w:spacing w:after="0"/>
        <w:jc w:val="center"/>
        <w:rPr>
          <w:rFonts w:ascii="Gill Sans MT" w:hAnsi="Gill Sans MT"/>
          <w:sz w:val="32"/>
        </w:rPr>
      </w:pPr>
    </w:p>
    <w:p w:rsidR="00EF5B8E" w:rsidRPr="005C7C13" w:rsidRDefault="00EF5B8E" w:rsidP="00EF5B8E">
      <w:pPr>
        <w:rPr>
          <w:rFonts w:ascii="Gill Sans MT" w:hAnsi="Gill Sans MT"/>
          <w:sz w:val="32"/>
        </w:rPr>
      </w:pPr>
      <w:r w:rsidRPr="005C7C13">
        <w:rPr>
          <w:rFonts w:ascii="Gill Sans MT" w:hAnsi="Gill Sans MT"/>
          <w:sz w:val="32"/>
        </w:rPr>
        <w:br w:type="page"/>
      </w:r>
    </w:p>
    <w:p w:rsidR="00EF5B8E" w:rsidRPr="005C7C13" w:rsidRDefault="00EF5B8E" w:rsidP="00EF5B8E">
      <w:pPr>
        <w:rPr>
          <w:rFonts w:ascii="Gill Sans MT" w:hAnsi="Gill Sans MT"/>
          <w:sz w:val="32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tbl>
      <w:tblPr>
        <w:tblStyle w:val="TableGrid"/>
        <w:tblpPr w:leftFromText="180" w:rightFromText="180" w:vertAnchor="text" w:tblpX="-86" w:tblpY="1"/>
        <w:tblOverlap w:val="never"/>
        <w:tblW w:w="9436" w:type="dxa"/>
        <w:tblLook w:val="04A0" w:firstRow="1" w:lastRow="0" w:firstColumn="1" w:lastColumn="0" w:noHBand="0" w:noVBand="1"/>
      </w:tblPr>
      <w:tblGrid>
        <w:gridCol w:w="1696"/>
        <w:gridCol w:w="1392"/>
        <w:gridCol w:w="1302"/>
        <w:gridCol w:w="1086"/>
        <w:gridCol w:w="1323"/>
        <w:gridCol w:w="993"/>
        <w:gridCol w:w="294"/>
        <w:gridCol w:w="1350"/>
      </w:tblGrid>
      <w:tr w:rsidR="00EF5B8E" w:rsidRPr="005C7C13" w:rsidTr="00C35E4C">
        <w:trPr>
          <w:trHeight w:val="350"/>
        </w:trPr>
        <w:tc>
          <w:tcPr>
            <w:tcW w:w="308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Cs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8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60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C7C1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F5B8E" w:rsidRPr="005C7C13" w:rsidTr="00C35E4C">
        <w:trPr>
          <w:trHeight w:val="359"/>
        </w:trPr>
        <w:tc>
          <w:tcPr>
            <w:tcW w:w="547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C7C1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0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C7C13">
              <w:rPr>
                <w:rFonts w:ascii="Gill Sans MT" w:hAnsi="Gill Sans MT" w:cs="Tahoma"/>
              </w:rPr>
              <w:t>Grammar</w:t>
            </w:r>
          </w:p>
        </w:tc>
      </w:tr>
      <w:tr w:rsidR="00EF5B8E" w:rsidRPr="005C7C13" w:rsidTr="00C35E4C">
        <w:trPr>
          <w:trHeight w:val="341"/>
        </w:trPr>
        <w:tc>
          <w:tcPr>
            <w:tcW w:w="308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C7C13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8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0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Sub Strand:</w:t>
            </w:r>
            <w:r w:rsidRPr="005C7C13">
              <w:rPr>
                <w:rFonts w:ascii="Gill Sans MT" w:hAnsi="Gill Sans MT"/>
              </w:rPr>
              <w:t xml:space="preserve">  Phrasal Verbs</w:t>
            </w:r>
          </w:p>
        </w:tc>
      </w:tr>
      <w:tr w:rsidR="00EF5B8E" w:rsidRPr="005C7C13" w:rsidTr="00C35E4C">
        <w:trPr>
          <w:trHeight w:val="474"/>
        </w:trPr>
        <w:tc>
          <w:tcPr>
            <w:tcW w:w="4390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/>
              </w:rPr>
              <w:t>B9.3.1.1: Apply the knowledge of phrases and clauses and their functions in Communication.</w:t>
            </w:r>
          </w:p>
        </w:tc>
        <w:tc>
          <w:tcPr>
            <w:tcW w:w="369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B9.3.1.1.3 Use more complex phrasal verbs accurately in speech  and writing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F5B8E" w:rsidRPr="005C7C13" w:rsidTr="00C35E4C">
        <w:trPr>
          <w:trHeight w:val="494"/>
        </w:trPr>
        <w:tc>
          <w:tcPr>
            <w:tcW w:w="6799" w:type="dxa"/>
            <w:gridSpan w:val="5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</w:rPr>
              <w:t>Learners can</w:t>
            </w:r>
            <w:r w:rsidRPr="005C7C13">
              <w:rPr>
                <w:rFonts w:ascii="Gill Sans MT" w:hAnsi="Gill Sans MT"/>
              </w:rPr>
              <w:t xml:space="preserve"> engage in writing activities that showcase the expressive potential of phrasal verbs</w:t>
            </w:r>
          </w:p>
        </w:tc>
        <w:tc>
          <w:tcPr>
            <w:tcW w:w="2637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EF5B8E" w:rsidRPr="005C7C13" w:rsidTr="00C35E4C">
        <w:trPr>
          <w:trHeight w:val="400"/>
        </w:trPr>
        <w:tc>
          <w:tcPr>
            <w:tcW w:w="1696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New words </w:t>
            </w:r>
          </w:p>
        </w:tc>
        <w:tc>
          <w:tcPr>
            <w:tcW w:w="7740" w:type="dxa"/>
            <w:gridSpan w:val="7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Phrasal Verb, Context, Literal Meaning, Figurative Meaning</w:t>
            </w:r>
          </w:p>
        </w:tc>
      </w:tr>
      <w:tr w:rsidR="00EF5B8E" w:rsidRPr="005C7C13" w:rsidTr="00C35E4C">
        <w:trPr>
          <w:trHeight w:val="332"/>
        </w:trPr>
        <w:tc>
          <w:tcPr>
            <w:tcW w:w="9436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C7C13">
              <w:rPr>
                <w:rFonts w:ascii="Gill Sans MT" w:hAnsi="Gill Sans MT" w:cs="Tahoma"/>
              </w:rPr>
              <w:t>English Language Curriculum Pg. 86</w:t>
            </w:r>
          </w:p>
        </w:tc>
      </w:tr>
      <w:tr w:rsidR="00EF5B8E" w:rsidRPr="005C7C13" w:rsidTr="00C35E4C">
        <w:tc>
          <w:tcPr>
            <w:tcW w:w="9436" w:type="dxa"/>
            <w:gridSpan w:val="8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c>
          <w:tcPr>
            <w:tcW w:w="1696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Learners Activities</w:t>
            </w:r>
          </w:p>
        </w:tc>
        <w:tc>
          <w:tcPr>
            <w:tcW w:w="1644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Resources</w:t>
            </w:r>
          </w:p>
        </w:tc>
      </w:tr>
      <w:tr w:rsidR="00EF5B8E" w:rsidRPr="005C7C13" w:rsidTr="00C35E4C">
        <w:trPr>
          <w:trHeight w:val="1019"/>
        </w:trPr>
        <w:tc>
          <w:tcPr>
            <w:tcW w:w="1696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1: </w:t>
            </w:r>
            <w:r w:rsidRPr="005C7C1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EF5B8E" w:rsidRPr="005C7C13" w:rsidRDefault="00EF5B8E" w:rsidP="00C35E4C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C7C13">
              <w:rPr>
                <w:sz w:val="22"/>
              </w:rPr>
              <w:t xml:space="preserve">Share examples of sentences with regular verbs and ask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rephrase them using alternative verbs that evoke stronger imagery or action (e.g., "He saw the dog" vs. "He spotted the playful pup scampering across the park").</w:t>
            </w:r>
          </w:p>
        </w:tc>
        <w:tc>
          <w:tcPr>
            <w:tcW w:w="1644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ab/>
            </w:r>
          </w:p>
        </w:tc>
      </w:tr>
      <w:tr w:rsidR="00EF5B8E" w:rsidRPr="005C7C13" w:rsidTr="00C35E4C">
        <w:trPr>
          <w:trHeight w:val="530"/>
        </w:trPr>
        <w:tc>
          <w:tcPr>
            <w:tcW w:w="1696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2: </w:t>
            </w:r>
            <w:r w:rsidRPr="005C7C1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EF5B8E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Present a mini-lecture on what phrasal verbs are and how they work. </w:t>
            </w:r>
          </w:p>
          <w:p w:rsidR="00EF5B8E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Give examples of common phrasal verbs with their individual verb and particle meanings (e.g., "look up" = search, "figure out" = understand).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Divide </w:t>
            </w:r>
            <w:r>
              <w:rPr>
                <w:rFonts w:ascii="Gill Sans MT" w:hAnsi="Gill Sans MT" w:cs="Gill Sans MT"/>
                <w:color w:val="000000"/>
                <w:szCs w:val="24"/>
              </w:rPr>
              <w:t>learners</w:t>
            </w: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 into groups and distribute handouts with lists of phrasal verbs and their meanings. Encourage them to work together to create sentences using the assigned verbs and discuss their interpretations.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Display chart paper and invite groups to share their sentences, adding them to a class list of creative phrasal verb usage.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Provide </w:t>
            </w:r>
            <w:r>
              <w:rPr>
                <w:rFonts w:ascii="Gill Sans MT" w:hAnsi="Gill Sans MT" w:cs="Gill Sans MT"/>
                <w:color w:val="000000"/>
                <w:szCs w:val="24"/>
              </w:rPr>
              <w:t>learners</w:t>
            </w: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 with short reading passages featuring well-used phrasal verbs. </w:t>
            </w:r>
          </w:p>
          <w:p w:rsidR="00EF5B8E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Ask them to identify and highlight the phrasal verbs, discussing their impact on the writing's tone and imagery.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Facilitate a class discussion about the different effects of using phrasal verbs: highlighting action, adding humor, creating vivid descriptions, etc.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lastRenderedPageBreak/>
              <w:t xml:space="preserve">Give </w:t>
            </w:r>
            <w:r>
              <w:rPr>
                <w:rFonts w:ascii="Gill Sans MT" w:hAnsi="Gill Sans MT" w:cs="Gill Sans MT"/>
                <w:color w:val="000000"/>
                <w:szCs w:val="24"/>
              </w:rPr>
              <w:t>learners</w:t>
            </w: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 sentence completion prompts or creative writing starter ideas that encourage the use of phrasal verbs (e.g., "As the storm raged, she hunkered down...", "Just as I was about to give up, I stumbled upon...").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Allow </w:t>
            </w:r>
            <w:r>
              <w:rPr>
                <w:rFonts w:ascii="Gill Sans MT" w:hAnsi="Gill Sans MT" w:cs="Gill Sans MT"/>
                <w:color w:val="000000"/>
                <w:szCs w:val="24"/>
              </w:rPr>
              <w:t>learners</w:t>
            </w:r>
            <w:r w:rsidRPr="005C7C13">
              <w:rPr>
                <w:rFonts w:ascii="Gill Sans MT" w:hAnsi="Gill Sans MT" w:cs="Gill Sans MT"/>
                <w:color w:val="000000"/>
                <w:szCs w:val="24"/>
              </w:rPr>
              <w:t xml:space="preserve"> time to write short paragraphs or narratives, showcasing their newfound expertise in incorporating phrasal verbs for effect.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  <w:u w:val="single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  <w:u w:val="single"/>
              </w:rPr>
              <w:t>Assessment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i/>
                <w:color w:val="000000"/>
                <w:szCs w:val="24"/>
              </w:rPr>
              <w:t>Circle the phrasal verbs in the following sentences</w:t>
            </w:r>
            <w:r w:rsidRPr="005C7C13">
              <w:rPr>
                <w:rFonts w:ascii="Gill Sans MT" w:hAnsi="Gill Sans MT" w:cs="Gill Sans MT"/>
                <w:color w:val="000000"/>
                <w:szCs w:val="24"/>
              </w:rPr>
              <w:t>: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EF5B8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She figured out the puzzle in record time.</w:t>
            </w:r>
          </w:p>
          <w:p w:rsidR="00EF5B8E" w:rsidRPr="005C7C13" w:rsidRDefault="00EF5B8E" w:rsidP="00EF5B8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They talked through their differences and patched things up.</w:t>
            </w:r>
          </w:p>
          <w:p w:rsidR="00EF5B8E" w:rsidRPr="005C7C13" w:rsidRDefault="00EF5B8E" w:rsidP="00EF5B8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The old house was falling apart, but it held a lot of memories.</w:t>
            </w: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EF5B8E" w:rsidRPr="005C7C13" w:rsidRDefault="00EF5B8E" w:rsidP="00C35E4C">
            <w:pPr>
              <w:rPr>
                <w:rFonts w:ascii="Gill Sans MT" w:hAnsi="Gill Sans MT" w:cs="Gill Sans MT"/>
                <w:color w:val="000000"/>
                <w:szCs w:val="24"/>
              </w:rPr>
            </w:pPr>
            <w:r w:rsidRPr="005C7C13">
              <w:rPr>
                <w:rFonts w:ascii="Gill Sans MT" w:hAnsi="Gill Sans MT" w:cs="Gill Sans MT"/>
                <w:color w:val="000000"/>
                <w:szCs w:val="24"/>
              </w:rPr>
              <w:t>For each circled verb, break it down into its verb and particle and explain the meaning.</w:t>
            </w:r>
          </w:p>
        </w:tc>
        <w:tc>
          <w:tcPr>
            <w:tcW w:w="1644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theme="minorHAnsi"/>
                <w:szCs w:val="24"/>
              </w:rPr>
              <w:lastRenderedPageBreak/>
              <w:t>Short reading passages featuring engaging use of phrasal verbs</w:t>
            </w:r>
          </w:p>
        </w:tc>
      </w:tr>
      <w:tr w:rsidR="00EF5B8E" w:rsidRPr="005C7C13" w:rsidTr="00C35E4C">
        <w:trPr>
          <w:trHeight w:val="562"/>
        </w:trPr>
        <w:tc>
          <w:tcPr>
            <w:tcW w:w="1696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3: </w:t>
            </w:r>
            <w:r w:rsidRPr="005C7C1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Summarize the importance of understanding various punctuation marks, like the dash, in written language.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Reinforce the idea that the right punctuation can add clarity and depth to their writing.</w:t>
            </w:r>
          </w:p>
        </w:tc>
        <w:tc>
          <w:tcPr>
            <w:tcW w:w="1644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</w:tbl>
    <w:p w:rsidR="00EF5B8E" w:rsidRPr="005C7C13" w:rsidRDefault="00EF5B8E" w:rsidP="00EF5B8E">
      <w:pPr>
        <w:rPr>
          <w:rFonts w:ascii="Gill Sans MT" w:hAnsi="Gill Sans MT"/>
        </w:rPr>
      </w:pPr>
      <w:r w:rsidRPr="005C7C13">
        <w:rPr>
          <w:rFonts w:ascii="Gill Sans MT" w:hAnsi="Gill Sans MT"/>
        </w:rPr>
        <w:br w:type="textWrapping" w:clear="all"/>
      </w:r>
    </w:p>
    <w:p w:rsidR="00EF5B8E" w:rsidRPr="005C7C13" w:rsidRDefault="00EF5B8E" w:rsidP="00EF5B8E">
      <w:pPr>
        <w:rPr>
          <w:rFonts w:ascii="Gill Sans MT" w:hAnsi="Gill Sans MT"/>
        </w:rPr>
      </w:pPr>
      <w:r w:rsidRPr="005C7C13">
        <w:rPr>
          <w:rFonts w:ascii="Gill Sans MT" w:hAnsi="Gill Sans MT"/>
        </w:rPr>
        <w:br w:type="page"/>
      </w:r>
    </w:p>
    <w:p w:rsidR="00EF5B8E" w:rsidRPr="005C7C13" w:rsidRDefault="00EF5B8E" w:rsidP="00EF5B8E">
      <w:pPr>
        <w:rPr>
          <w:rFonts w:ascii="Gill Sans MT" w:hAnsi="Gill Sans MT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908"/>
        <w:gridCol w:w="900"/>
        <w:gridCol w:w="1162"/>
        <w:gridCol w:w="1036"/>
        <w:gridCol w:w="1232"/>
        <w:gridCol w:w="1559"/>
        <w:gridCol w:w="567"/>
        <w:gridCol w:w="1276"/>
      </w:tblGrid>
      <w:tr w:rsidR="00EF5B8E" w:rsidRPr="005C7C13" w:rsidTr="00C35E4C">
        <w:trPr>
          <w:trHeight w:val="350"/>
        </w:trPr>
        <w:tc>
          <w:tcPr>
            <w:tcW w:w="280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9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63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C7C1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F5B8E" w:rsidRPr="005C7C13" w:rsidTr="00C35E4C">
        <w:trPr>
          <w:trHeight w:val="359"/>
        </w:trPr>
        <w:tc>
          <w:tcPr>
            <w:tcW w:w="5006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63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C7C13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EF5B8E" w:rsidRPr="005C7C13" w:rsidTr="00C35E4C">
        <w:trPr>
          <w:trHeight w:val="341"/>
        </w:trPr>
        <w:tc>
          <w:tcPr>
            <w:tcW w:w="280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C7C13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198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3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C7C13">
              <w:rPr>
                <w:rFonts w:ascii="Gill Sans MT" w:hAnsi="Gill Sans MT"/>
              </w:rPr>
              <w:t>Writing Business letters</w:t>
            </w:r>
          </w:p>
        </w:tc>
      </w:tr>
      <w:tr w:rsidR="00EF5B8E" w:rsidRPr="005C7C13" w:rsidTr="00C35E4C">
        <w:trPr>
          <w:trHeight w:val="474"/>
        </w:trPr>
        <w:tc>
          <w:tcPr>
            <w:tcW w:w="3970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/>
              </w:rPr>
              <w:t>B9.4.2.2: Apply writing skills to specific life situations</w:t>
            </w:r>
          </w:p>
        </w:tc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B9.4.2.2.1 Compose formal writing (business letters, email, minutes, </w:t>
            </w:r>
            <w:proofErr w:type="spellStart"/>
            <w:r w:rsidRPr="005C7C13">
              <w:rPr>
                <w:rFonts w:ascii="Gill Sans MT" w:hAnsi="Gill Sans MT"/>
              </w:rPr>
              <w:t>programme</w:t>
            </w:r>
            <w:proofErr w:type="spellEnd"/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1 of 1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EF5B8E" w:rsidRPr="005C7C13" w:rsidTr="00C35E4C">
        <w:trPr>
          <w:trHeight w:val="494"/>
        </w:trPr>
        <w:tc>
          <w:tcPr>
            <w:tcW w:w="6238" w:type="dxa"/>
            <w:gridSpan w:val="5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/>
              </w:rPr>
              <w:t>Learners can compose effective and courteous emails for various purposes.</w:t>
            </w:r>
          </w:p>
        </w:tc>
        <w:tc>
          <w:tcPr>
            <w:tcW w:w="3402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Communication and Collaboration, Personal Development and Leadership,</w:t>
            </w:r>
          </w:p>
        </w:tc>
      </w:tr>
      <w:tr w:rsidR="00EF5B8E" w:rsidRPr="005C7C13" w:rsidTr="00C35E4C">
        <w:trPr>
          <w:trHeight w:val="332"/>
        </w:trPr>
        <w:tc>
          <w:tcPr>
            <w:tcW w:w="9640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5C7C13">
              <w:rPr>
                <w:rFonts w:ascii="Gill Sans MT" w:hAnsi="Gill Sans MT" w:cs="Tahoma"/>
              </w:rPr>
              <w:t>English Language Pg.</w:t>
            </w:r>
            <w:r w:rsidRPr="005C7C13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C7C13">
              <w:rPr>
                <w:rFonts w:ascii="Gill Sans MT" w:hAnsi="Gill Sans MT" w:cs="Tahoma"/>
                <w:sz w:val="20"/>
              </w:rPr>
              <w:t>94</w:t>
            </w:r>
          </w:p>
        </w:tc>
      </w:tr>
      <w:tr w:rsidR="00EF5B8E" w:rsidRPr="005C7C13" w:rsidTr="00C35E4C">
        <w:trPr>
          <w:trHeight w:val="332"/>
        </w:trPr>
        <w:tc>
          <w:tcPr>
            <w:tcW w:w="9640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</w:rPr>
            </w:pPr>
            <w:r w:rsidRPr="005C7C13">
              <w:rPr>
                <w:rFonts w:ascii="Gill Sans MT" w:hAnsi="Gill Sans MT" w:cs="Tahoma"/>
                <w:b/>
              </w:rPr>
              <w:t xml:space="preserve">Keywords: </w:t>
            </w:r>
            <w:r w:rsidRPr="005C7C13">
              <w:rPr>
                <w:rFonts w:ascii="Gill Sans MT" w:hAnsi="Gill Sans MT" w:cs="Tahoma"/>
              </w:rPr>
              <w:t>Salutation, Body, Closing, Subject Line, Professional Communication</w:t>
            </w:r>
          </w:p>
        </w:tc>
      </w:tr>
      <w:tr w:rsidR="00EF5B8E" w:rsidRPr="005C7C13" w:rsidTr="00C35E4C">
        <w:tc>
          <w:tcPr>
            <w:tcW w:w="9640" w:type="dxa"/>
            <w:gridSpan w:val="8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c>
          <w:tcPr>
            <w:tcW w:w="1908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Phase/Duration</w:t>
            </w:r>
          </w:p>
        </w:tc>
        <w:tc>
          <w:tcPr>
            <w:tcW w:w="5889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3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Resources</w:t>
            </w:r>
          </w:p>
        </w:tc>
      </w:tr>
      <w:tr w:rsidR="00EF5B8E" w:rsidRPr="005C7C13" w:rsidTr="00C35E4C">
        <w:trPr>
          <w:trHeight w:val="1151"/>
        </w:trPr>
        <w:tc>
          <w:tcPr>
            <w:tcW w:w="1908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1: </w:t>
            </w:r>
            <w:r w:rsidRPr="005C7C1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89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Begin the lesson with a brief discussion on the importance of effective communication in the digital age.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Share examples of scenarios where formal emails are required, such as job applications, contacting teachers, or communicating with professionals.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brainstorm the key elements they think are important in writing a formal email.</w:t>
            </w:r>
          </w:p>
        </w:tc>
        <w:tc>
          <w:tcPr>
            <w:tcW w:w="1843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rPr>
          <w:trHeight w:val="836"/>
        </w:trPr>
        <w:tc>
          <w:tcPr>
            <w:tcW w:w="1908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2: </w:t>
            </w:r>
            <w:r w:rsidRPr="005C7C1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89" w:type="dxa"/>
            <w:gridSpan w:val="5"/>
          </w:tcPr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 xml:space="preserve">Lead a class discussion on the expectations and conventions of formal email writing. 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 xml:space="preserve">Discuss the differences between formal and informal communication, and highlight the significance of clarity, politeness, and appropriateness in formal emails. 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br/>
              <w:t>Introduce key terms such as salutation, body, closing, and subject line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Provide learners with sample formal emails or excerpts.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In small groups, have learners analyze and identify the key components of each email.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Discuss their findings as a class, highlighting effective elements and potential improvements.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Discuss the importance of an appropriate subject line and how it can impact the reader's perception.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Engage learners in a hands-on activity where they create subject lines for different scenarios.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Share and discuss the subject lines as a class, providing feedback on clarity and relevance.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Provide a scenario or purpose for a formal email (e.g., contacting a teacher, applying for a job, etc.).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Guide learners through the process of drafting a formal email, emphasizing the structure, tone, and content.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Encourage learners to share their drafts with a partner for peer feedback.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Organize a peer editing session where learners exchange their draft emails.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Encourage constructive feedback on clarity, tone, and overall effectiveness.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Allow time for learners to revise their drafts based on peer suggestions.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  <w:u w:val="single"/>
              </w:rPr>
            </w:pPr>
            <w:r w:rsidRPr="009121E7">
              <w:rPr>
                <w:sz w:val="22"/>
                <w:u w:val="single"/>
              </w:rPr>
              <w:t>Assessment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Assign different roles or scenarios to pairs of learners (e.g., employer and job applicant, student and teacher).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Have learners perform a role-play where they practice sending and receiving formal emails.</w:t>
            </w: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</w:p>
          <w:p w:rsidR="00EF5B8E" w:rsidRPr="009121E7" w:rsidRDefault="00EF5B8E" w:rsidP="00C35E4C">
            <w:pPr>
              <w:pStyle w:val="Default"/>
              <w:rPr>
                <w:sz w:val="22"/>
              </w:rPr>
            </w:pPr>
            <w:r w:rsidRPr="009121E7">
              <w:rPr>
                <w:sz w:val="22"/>
              </w:rPr>
              <w:t>Encourage them to focus on using appropriate language and addressing the specific needs of the scenario.</w:t>
            </w:r>
          </w:p>
        </w:tc>
        <w:tc>
          <w:tcPr>
            <w:tcW w:w="1843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EF5B8E" w:rsidRPr="005C7C13" w:rsidTr="00C35E4C">
        <w:trPr>
          <w:trHeight w:val="1034"/>
        </w:trPr>
        <w:tc>
          <w:tcPr>
            <w:tcW w:w="1908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3: </w:t>
            </w:r>
            <w:r w:rsidRPr="005C7C1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89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3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</w:tbl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  <w:r w:rsidRPr="005C7C13">
        <w:rPr>
          <w:rFonts w:ascii="Gill Sans MT" w:hAnsi="Gill Sans MT"/>
        </w:rPr>
        <w:br w:type="page"/>
      </w: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1200"/>
        <w:gridCol w:w="927"/>
        <w:gridCol w:w="1269"/>
        <w:gridCol w:w="1140"/>
        <w:gridCol w:w="1134"/>
        <w:gridCol w:w="461"/>
        <w:gridCol w:w="1524"/>
      </w:tblGrid>
      <w:tr w:rsidR="00EF5B8E" w:rsidRPr="005C7C13" w:rsidTr="00C35E4C">
        <w:trPr>
          <w:trHeight w:val="350"/>
        </w:trPr>
        <w:tc>
          <w:tcPr>
            <w:tcW w:w="3185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96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59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C7C1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F5B8E" w:rsidRPr="005C7C13" w:rsidTr="00C35E4C">
        <w:trPr>
          <w:trHeight w:val="359"/>
        </w:trPr>
        <w:tc>
          <w:tcPr>
            <w:tcW w:w="5381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C7C13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259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C7C13">
              <w:rPr>
                <w:rFonts w:ascii="Gill Sans MT" w:hAnsi="Gill Sans MT" w:cs="Tahoma"/>
              </w:rPr>
              <w:t xml:space="preserve">Literature </w:t>
            </w:r>
          </w:p>
        </w:tc>
      </w:tr>
      <w:tr w:rsidR="00EF5B8E" w:rsidRPr="005C7C13" w:rsidTr="00C35E4C">
        <w:trPr>
          <w:trHeight w:val="341"/>
        </w:trPr>
        <w:tc>
          <w:tcPr>
            <w:tcW w:w="3185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C7C13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196" w:type="dxa"/>
            <w:gridSpan w:val="2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59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C7C13">
              <w:rPr>
                <w:rFonts w:ascii="Gill Sans MT" w:hAnsi="Gill Sans MT" w:cs="Tahoma"/>
              </w:rPr>
              <w:t>Literature</w:t>
            </w:r>
          </w:p>
        </w:tc>
      </w:tr>
      <w:tr w:rsidR="00EF5B8E" w:rsidRPr="005C7C13" w:rsidTr="00C35E4C">
        <w:trPr>
          <w:trHeight w:val="474"/>
        </w:trPr>
        <w:tc>
          <w:tcPr>
            <w:tcW w:w="4112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B9.5.1.1: Demonstrate understanding of how various elements of literary genres contribute to meaning</w:t>
            </w:r>
          </w:p>
        </w:tc>
        <w:tc>
          <w:tcPr>
            <w:tcW w:w="4004" w:type="dxa"/>
            <w:gridSpan w:val="4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</w:rPr>
            </w:pPr>
            <w:r w:rsidRPr="005C7C13">
              <w:rPr>
                <w:rFonts w:ascii="Gill Sans MT" w:hAnsi="Gill Sans MT"/>
              </w:rPr>
              <w:t>B9.5.1.14. Use literary devices (imagery) in texts</w:t>
            </w:r>
          </w:p>
        </w:tc>
        <w:tc>
          <w:tcPr>
            <w:tcW w:w="1524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1 of 1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EF5B8E" w:rsidRPr="005C7C13" w:rsidTr="00C35E4C">
        <w:trPr>
          <w:trHeight w:val="494"/>
        </w:trPr>
        <w:tc>
          <w:tcPr>
            <w:tcW w:w="6521" w:type="dxa"/>
            <w:gridSpan w:val="5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</w:rPr>
              <w:t>Learners can incorporate various forms of imagery, such as personification, simile, metaphors, and idiomatic expressions, in their speech and writing.</w:t>
            </w:r>
          </w:p>
        </w:tc>
        <w:tc>
          <w:tcPr>
            <w:tcW w:w="3119" w:type="dxa"/>
            <w:gridSpan w:val="3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Communication and Collaboration, Personal</w:t>
            </w:r>
          </w:p>
        </w:tc>
      </w:tr>
      <w:tr w:rsidR="00EF5B8E" w:rsidRPr="005C7C13" w:rsidTr="00C35E4C">
        <w:trPr>
          <w:trHeight w:val="346"/>
        </w:trPr>
        <w:tc>
          <w:tcPr>
            <w:tcW w:w="1985" w:type="dxa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Key words </w:t>
            </w:r>
          </w:p>
        </w:tc>
        <w:tc>
          <w:tcPr>
            <w:tcW w:w="7655" w:type="dxa"/>
            <w:gridSpan w:val="7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sz w:val="20"/>
              </w:rPr>
            </w:pPr>
            <w:r w:rsidRPr="005C7C13">
              <w:rPr>
                <w:rFonts w:ascii="Gill Sans MT" w:hAnsi="Gill Sans MT" w:cs="Tahoma"/>
                <w:sz w:val="20"/>
              </w:rPr>
              <w:t>Figurative Language, Personification, Simile, Metaphor, Idiomatic Expressions, Imagery</w:t>
            </w:r>
          </w:p>
        </w:tc>
      </w:tr>
      <w:tr w:rsidR="00EF5B8E" w:rsidRPr="005C7C13" w:rsidTr="00C35E4C">
        <w:trPr>
          <w:trHeight w:val="332"/>
        </w:trPr>
        <w:tc>
          <w:tcPr>
            <w:tcW w:w="9640" w:type="dxa"/>
            <w:gridSpan w:val="8"/>
            <w:shd w:val="clear" w:color="auto" w:fill="EDEDED" w:themeFill="accent3" w:themeFillTint="33"/>
            <w:vAlign w:val="center"/>
          </w:tcPr>
          <w:p w:rsidR="00EF5B8E" w:rsidRPr="005C7C13" w:rsidRDefault="00EF5B8E" w:rsidP="00C35E4C">
            <w:pPr>
              <w:rPr>
                <w:rFonts w:ascii="Gill Sans MT" w:hAnsi="Gill Sans MT" w:cs="Tahoma"/>
                <w:b/>
                <w:sz w:val="20"/>
              </w:rPr>
            </w:pPr>
            <w:r w:rsidRPr="005C7C1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C7C13">
              <w:rPr>
                <w:rFonts w:ascii="Gill Sans MT" w:hAnsi="Gill Sans MT" w:cs="Tahoma"/>
              </w:rPr>
              <w:t>English Language Curriculum Pg. 99</w:t>
            </w:r>
          </w:p>
        </w:tc>
      </w:tr>
      <w:tr w:rsidR="00EF5B8E" w:rsidRPr="005C7C13" w:rsidTr="00C35E4C">
        <w:tc>
          <w:tcPr>
            <w:tcW w:w="9640" w:type="dxa"/>
            <w:gridSpan w:val="8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c>
          <w:tcPr>
            <w:tcW w:w="198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Learners Activities</w:t>
            </w:r>
          </w:p>
        </w:tc>
        <w:tc>
          <w:tcPr>
            <w:tcW w:w="1985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Resources</w:t>
            </w:r>
          </w:p>
        </w:tc>
      </w:tr>
      <w:tr w:rsidR="00EF5B8E" w:rsidRPr="005C7C13" w:rsidTr="00C35E4C">
        <w:trPr>
          <w:trHeight w:val="1025"/>
        </w:trPr>
        <w:tc>
          <w:tcPr>
            <w:tcW w:w="198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1: </w:t>
            </w:r>
            <w:r w:rsidRPr="005C7C1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Begin the lesson with a short video or a series of images that evoke strong emotions or vivid scenes. 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jot down their initial thoughts and feelings about the visuals. This will serve as </w:t>
            </w:r>
            <w:proofErr w:type="gramStart"/>
            <w:r w:rsidRPr="005C7C13">
              <w:rPr>
                <w:sz w:val="22"/>
              </w:rPr>
              <w:t>a segue</w:t>
            </w:r>
            <w:proofErr w:type="gramEnd"/>
            <w:r w:rsidRPr="005C7C13">
              <w:rPr>
                <w:sz w:val="22"/>
              </w:rPr>
              <w:t xml:space="preserve"> into the importance of using imagery in language.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985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  <w:tr w:rsidR="00EF5B8E" w:rsidRPr="005C7C13" w:rsidTr="00C35E4C">
        <w:trPr>
          <w:trHeight w:val="1070"/>
        </w:trPr>
        <w:tc>
          <w:tcPr>
            <w:tcW w:w="198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2: </w:t>
            </w:r>
            <w:r w:rsidRPr="005C7C1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Define imagery and its role in literature and everyday language.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Briefly explain personification, simile, metaphors, and idiomatic expressions, providing simple examples for each.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Discuss why authors and speakers use these devices to enhance their communication and engage the audience.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Provide examples of personification and ask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identify them.</w:t>
            </w:r>
          </w:p>
          <w:p w:rsidR="00EF5B8E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Have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create their own sentences using personification, describing an object or concept as if it were a person.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Discuss and share their creations as a class.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Differentiate between similes and metaphors, providing examples.</w:t>
            </w:r>
          </w:p>
          <w:p w:rsidR="00EF5B8E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lastRenderedPageBreak/>
              <w:t xml:space="preserve">Engage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in a hands-on activity where they create similes and metaphors based on given prompts.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Encourage peer sharing and discussion.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Introduce idiomatic expressions and their cultural context.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Distribute a list of common idioms.</w:t>
            </w:r>
          </w:p>
          <w:p w:rsidR="00EF5B8E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can work in pairs or small groups to find and identify idioms in books, articles, or online resources.</w:t>
            </w: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>Provide a prompt or a starting sentence for a short creative writing piece.</w:t>
            </w:r>
          </w:p>
          <w:p w:rsidR="00EF5B8E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Instruct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incorporate at least one example of personification, simile, metaphor, and an idiom in their writing.</w:t>
            </w:r>
          </w:p>
          <w:p w:rsidR="00EF5B8E" w:rsidRDefault="00EF5B8E" w:rsidP="00C35E4C">
            <w:pPr>
              <w:pStyle w:val="Default"/>
              <w:rPr>
                <w:sz w:val="22"/>
              </w:rPr>
            </w:pPr>
          </w:p>
          <w:p w:rsidR="00EF5B8E" w:rsidRPr="005C7C13" w:rsidRDefault="00EF5B8E" w:rsidP="00C35E4C">
            <w:pPr>
              <w:pStyle w:val="Default"/>
              <w:rPr>
                <w:sz w:val="22"/>
              </w:rPr>
            </w:pPr>
            <w:r w:rsidRPr="005C7C13">
              <w:rPr>
                <w:sz w:val="22"/>
              </w:rPr>
              <w:t xml:space="preserve">Allow time for </w:t>
            </w:r>
            <w:r>
              <w:rPr>
                <w:sz w:val="22"/>
              </w:rPr>
              <w:t>learners</w:t>
            </w:r>
            <w:r w:rsidRPr="005C7C13">
              <w:rPr>
                <w:sz w:val="22"/>
              </w:rPr>
              <w:t xml:space="preserve"> to share their writing with peers and provide constructive feedback.</w:t>
            </w:r>
          </w:p>
        </w:tc>
        <w:tc>
          <w:tcPr>
            <w:tcW w:w="1985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EF5B8E" w:rsidRPr="005C7C13" w:rsidTr="00C35E4C">
        <w:trPr>
          <w:trHeight w:val="800"/>
        </w:trPr>
        <w:tc>
          <w:tcPr>
            <w:tcW w:w="1985" w:type="dxa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PHASE 3: </w:t>
            </w:r>
            <w:r w:rsidRPr="005C7C1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  <w:p w:rsidR="00EF5B8E" w:rsidRPr="005C7C13" w:rsidRDefault="00EF5B8E" w:rsidP="00C35E4C">
            <w:pPr>
              <w:rPr>
                <w:rFonts w:ascii="Gill Sans MT" w:hAnsi="Gill Sans MT"/>
              </w:rPr>
            </w:pPr>
            <w:r w:rsidRPr="005C7C13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985" w:type="dxa"/>
            <w:gridSpan w:val="2"/>
          </w:tcPr>
          <w:p w:rsidR="00EF5B8E" w:rsidRPr="005C7C13" w:rsidRDefault="00EF5B8E" w:rsidP="00C35E4C">
            <w:pPr>
              <w:rPr>
                <w:rFonts w:ascii="Gill Sans MT" w:hAnsi="Gill Sans MT"/>
              </w:rPr>
            </w:pPr>
          </w:p>
        </w:tc>
      </w:tr>
    </w:tbl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Pr="005C7C13" w:rsidRDefault="00EF5B8E" w:rsidP="00EF5B8E">
      <w:pPr>
        <w:rPr>
          <w:rFonts w:ascii="Gill Sans MT" w:hAnsi="Gill Sans MT"/>
        </w:rPr>
      </w:pPr>
    </w:p>
    <w:p w:rsidR="00EF5B8E" w:rsidRDefault="00EF5B8E" w:rsidP="00EF5B8E">
      <w:r>
        <w:br w:type="page"/>
      </w:r>
    </w:p>
    <w:p w:rsidR="00BF358B" w:rsidRDefault="00EF5B8E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591"/>
    <w:multiLevelType w:val="hybridMultilevel"/>
    <w:tmpl w:val="385C9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8E"/>
    <w:rsid w:val="000E4FA7"/>
    <w:rsid w:val="00D1014A"/>
    <w:rsid w:val="00E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B3EF3-D7C8-423F-84E7-254A4D44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B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1958</Words>
  <Characters>11166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2025-01-05T20:50:00Z</dcterms:created>
  <dcterms:modified xsi:type="dcterms:W3CDTF">2025-01-05T20:50:00Z</dcterms:modified>
</cp:coreProperties>
</file>