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6E" w:rsidRPr="003E7DF1" w:rsidRDefault="00784A6E" w:rsidP="00784A6E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80"/>
        <w:gridCol w:w="630"/>
        <w:gridCol w:w="1260"/>
        <w:gridCol w:w="1260"/>
        <w:gridCol w:w="331"/>
        <w:gridCol w:w="1199"/>
        <w:gridCol w:w="1980"/>
        <w:gridCol w:w="1074"/>
        <w:gridCol w:w="1446"/>
      </w:tblGrid>
      <w:tr w:rsidR="00784A6E" w:rsidRPr="003E7DF1" w:rsidTr="00A3698A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784A6E" w:rsidRDefault="00784A6E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E7DF1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784A6E" w:rsidRPr="003E7DF1" w:rsidTr="00A3698A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E7DF1">
              <w:rPr>
                <w:rFonts w:ascii="Gill Sans MT" w:hAnsi="Gill Sans MT" w:cstheme="minorHAnsi"/>
                <w:sz w:val="20"/>
              </w:rPr>
              <w:t>My Country Ghana</w:t>
            </w:r>
          </w:p>
        </w:tc>
      </w:tr>
      <w:tr w:rsidR="00784A6E" w:rsidRPr="003E7DF1" w:rsidTr="00A3698A">
        <w:trPr>
          <w:trHeight w:val="341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E7DF1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E7DF1">
              <w:rPr>
                <w:rFonts w:ascii="Gill Sans MT" w:hAnsi="Gill Sans MT" w:cstheme="minorHAnsi"/>
                <w:sz w:val="20"/>
              </w:rPr>
              <w:t>Some Selected Individuals</w:t>
            </w:r>
          </w:p>
        </w:tc>
      </w:tr>
      <w:tr w:rsidR="00784A6E" w:rsidRPr="003E7DF1" w:rsidTr="00A3698A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84A6E" w:rsidRPr="003E7DF1" w:rsidRDefault="00784A6E" w:rsidP="00A3698A">
            <w:pPr>
              <w:rPr>
                <w:rFonts w:ascii="Gill Sans MT" w:hAnsi="Gill Sans MT" w:cs="Tahoma"/>
                <w:sz w:val="20"/>
              </w:rPr>
            </w:pPr>
            <w:r w:rsidRPr="003E7DF1">
              <w:rPr>
                <w:rFonts w:ascii="Gill Sans MT" w:hAnsi="Gill Sans MT" w:cs="Tahoma"/>
                <w:sz w:val="20"/>
              </w:rPr>
              <w:t>B2.2.5.1.1 Exhibit understanding of Ghanaian women who have contributed significantly to Ghana’s development</w:t>
            </w:r>
          </w:p>
        </w:tc>
        <w:tc>
          <w:tcPr>
            <w:tcW w:w="4584" w:type="dxa"/>
            <w:gridSpan w:val="4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84A6E" w:rsidRPr="003E7DF1" w:rsidRDefault="00784A6E" w:rsidP="00A3698A">
            <w:pPr>
              <w:rPr>
                <w:rFonts w:ascii="Gill Sans MT" w:hAnsi="Gill Sans MT"/>
              </w:rPr>
            </w:pPr>
            <w:r w:rsidRPr="003E7DF1">
              <w:rPr>
                <w:rFonts w:ascii="Gill Sans MT" w:hAnsi="Gill Sans MT" w:cstheme="minorHAnsi"/>
                <w:sz w:val="20"/>
                <w:szCs w:val="20"/>
              </w:rPr>
              <w:t xml:space="preserve">B2.2.5.1.1. Identify Ghanaian women who have made significant contributions to national development 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84A6E" w:rsidRPr="003E7DF1" w:rsidRDefault="00784A6E" w:rsidP="00A3698A">
            <w:pPr>
              <w:rPr>
                <w:rFonts w:ascii="Gill Sans MT" w:hAnsi="Gill Sans MT" w:cs="Tahoma"/>
                <w:sz w:val="20"/>
              </w:rPr>
            </w:pPr>
          </w:p>
          <w:p w:rsidR="00784A6E" w:rsidRPr="003E7DF1" w:rsidRDefault="00784A6E" w:rsidP="00A3698A">
            <w:pPr>
              <w:rPr>
                <w:rFonts w:ascii="Gill Sans MT" w:hAnsi="Gill Sans MT" w:cs="Tahoma"/>
                <w:sz w:val="20"/>
              </w:rPr>
            </w:pPr>
            <w:r w:rsidRPr="003E7DF1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84A6E" w:rsidRPr="003E7DF1" w:rsidTr="00A3698A">
        <w:trPr>
          <w:trHeight w:val="494"/>
        </w:trPr>
        <w:tc>
          <w:tcPr>
            <w:tcW w:w="4561" w:type="dxa"/>
            <w:gridSpan w:val="5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bCs/>
                <w:sz w:val="20"/>
                <w:szCs w:val="20"/>
              </w:rPr>
              <w:t xml:space="preserve">Learners can </w:t>
            </w:r>
            <w:r w:rsidRPr="003E7DF1">
              <w:rPr>
                <w:rFonts w:cstheme="minorHAnsi"/>
                <w:sz w:val="20"/>
                <w:szCs w:val="20"/>
              </w:rPr>
              <w:t xml:space="preserve">retell the contributions of Joyce </w:t>
            </w:r>
            <w:proofErr w:type="spellStart"/>
            <w:r w:rsidRPr="003E7DF1">
              <w:rPr>
                <w:rFonts w:cstheme="minorHAnsi"/>
                <w:sz w:val="20"/>
                <w:szCs w:val="20"/>
              </w:rPr>
              <w:t>Bamford-Addo</w:t>
            </w:r>
            <w:proofErr w:type="spellEnd"/>
            <w:r w:rsidRPr="003E7DF1">
              <w:rPr>
                <w:rFonts w:cstheme="minorHAnsi"/>
                <w:sz w:val="20"/>
                <w:szCs w:val="20"/>
              </w:rPr>
              <w:t xml:space="preserve"> to national development.</w:t>
            </w:r>
          </w:p>
        </w:tc>
        <w:tc>
          <w:tcPr>
            <w:tcW w:w="5699" w:type="dxa"/>
            <w:gridSpan w:val="4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84A6E" w:rsidRPr="003E7DF1" w:rsidRDefault="00784A6E" w:rsidP="00A3698A">
            <w:pPr>
              <w:rPr>
                <w:rFonts w:ascii="Gill Sans MT" w:hAnsi="Gill Sans MT" w:cs="Tahoma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  <w:szCs w:val="24"/>
              </w:rPr>
              <w:t>As learners use evidence to explore the chronology of events, they enhance their global citizenship, and digital literacy</w:t>
            </w:r>
          </w:p>
        </w:tc>
      </w:tr>
      <w:tr w:rsidR="00784A6E" w:rsidRPr="003E7DF1" w:rsidTr="00A3698A">
        <w:trPr>
          <w:trHeight w:val="350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3E7DF1">
              <w:rPr>
                <w:rFonts w:ascii="Gill Sans MT" w:hAnsi="Gill Sans MT" w:cstheme="minorHAnsi"/>
                <w:b/>
                <w:sz w:val="20"/>
                <w:szCs w:val="24"/>
              </w:rPr>
              <w:t>TLR</w:t>
            </w:r>
          </w:p>
        </w:tc>
        <w:tc>
          <w:tcPr>
            <w:tcW w:w="8550" w:type="dxa"/>
            <w:gridSpan w:val="7"/>
            <w:shd w:val="clear" w:color="auto" w:fill="auto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t>Pictures of some outstanding Entrepreneurs in Ghana</w:t>
            </w:r>
          </w:p>
        </w:tc>
      </w:tr>
      <w:tr w:rsidR="00784A6E" w:rsidRPr="003E7DF1" w:rsidTr="00A3698A">
        <w:trPr>
          <w:trHeight w:val="350"/>
        </w:trPr>
        <w:tc>
          <w:tcPr>
            <w:tcW w:w="1710" w:type="dxa"/>
            <w:gridSpan w:val="2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E7DF1">
              <w:rPr>
                <w:rFonts w:ascii="Gill Sans MT" w:hAnsi="Gill Sans MT" w:cstheme="minorHAnsi"/>
                <w:b/>
                <w:sz w:val="20"/>
                <w:szCs w:val="24"/>
              </w:rPr>
              <w:t>Key words</w:t>
            </w:r>
          </w:p>
        </w:tc>
        <w:tc>
          <w:tcPr>
            <w:tcW w:w="8550" w:type="dxa"/>
            <w:gridSpan w:val="7"/>
            <w:shd w:val="clear" w:color="auto" w:fill="auto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t>editor, national university, pilot, Air Force, wings, journalist, politicians, tertiary, government, ICT, constitution</w:t>
            </w:r>
          </w:p>
        </w:tc>
      </w:tr>
      <w:tr w:rsidR="00784A6E" w:rsidRPr="003E7DF1" w:rsidTr="00A3698A">
        <w:trPr>
          <w:trHeight w:val="350"/>
        </w:trPr>
        <w:tc>
          <w:tcPr>
            <w:tcW w:w="10260" w:type="dxa"/>
            <w:gridSpan w:val="9"/>
            <w:shd w:val="clear" w:color="auto" w:fill="auto"/>
            <w:vAlign w:val="center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18"/>
              </w:rPr>
            </w:pPr>
            <w:r w:rsidRPr="003E7DF1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E7DF1">
              <w:rPr>
                <w:rFonts w:ascii="Gill Sans MT" w:hAnsi="Gill Sans MT" w:cstheme="minorHAnsi"/>
                <w:sz w:val="20"/>
              </w:rPr>
              <w:t>History</w:t>
            </w:r>
            <w:r w:rsidRPr="003E7DF1">
              <w:rPr>
                <w:rFonts w:ascii="Gill Sans MT" w:hAnsi="Gill Sans MT" w:cs="Tahoma"/>
              </w:rPr>
              <w:t xml:space="preserve"> </w:t>
            </w:r>
            <w:r w:rsidRPr="003E7DF1">
              <w:rPr>
                <w:rFonts w:ascii="Gill Sans MT" w:hAnsi="Gill Sans MT" w:cs="Tahoma"/>
                <w:sz w:val="20"/>
              </w:rPr>
              <w:t>Curriculum Pg. 12</w:t>
            </w:r>
          </w:p>
        </w:tc>
      </w:tr>
      <w:tr w:rsidR="00784A6E" w:rsidRPr="003E7DF1" w:rsidTr="00A3698A">
        <w:tc>
          <w:tcPr>
            <w:tcW w:w="10260" w:type="dxa"/>
            <w:gridSpan w:val="9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84A6E" w:rsidRPr="003E7DF1" w:rsidTr="00A3698A">
        <w:tc>
          <w:tcPr>
            <w:tcW w:w="1080" w:type="dxa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E7DF1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3150" w:type="dxa"/>
            <w:gridSpan w:val="3"/>
          </w:tcPr>
          <w:p w:rsidR="00784A6E" w:rsidRPr="00450569" w:rsidRDefault="00784A6E" w:rsidP="00A3698A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510" w:type="dxa"/>
            <w:gridSpan w:val="3"/>
          </w:tcPr>
          <w:p w:rsidR="00784A6E" w:rsidRPr="00450569" w:rsidRDefault="00784A6E" w:rsidP="00A3698A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784A6E" w:rsidRDefault="00784A6E" w:rsidP="00A3698A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784A6E" w:rsidRPr="00450569" w:rsidRDefault="00784A6E" w:rsidP="00A3698A">
            <w:pPr>
              <w:rPr>
                <w:rFonts w:ascii="Gill Sans MT" w:hAnsi="Gill Sans MT"/>
              </w:rPr>
            </w:pPr>
          </w:p>
        </w:tc>
      </w:tr>
      <w:tr w:rsidR="00784A6E" w:rsidRPr="003E7DF1" w:rsidTr="00A3698A">
        <w:tc>
          <w:tcPr>
            <w:tcW w:w="1080" w:type="dxa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50" w:type="dxa"/>
            <w:gridSpan w:val="3"/>
          </w:tcPr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 xml:space="preserve">Show learners videos, documentaries or read books about important women in Ghana’s past.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</w:p>
          <w:p w:rsidR="00784A6E" w:rsidRPr="003E7DF1" w:rsidRDefault="00784A6E" w:rsidP="00784A6E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</w:rPr>
            </w:pPr>
            <w:proofErr w:type="gramStart"/>
            <w:r w:rsidRPr="003E7DF1">
              <w:rPr>
                <w:rFonts w:cstheme="minorHAnsi"/>
                <w:sz w:val="20"/>
              </w:rPr>
              <w:t>why</w:t>
            </w:r>
            <w:proofErr w:type="gramEnd"/>
            <w:r w:rsidRPr="003E7DF1">
              <w:rPr>
                <w:rFonts w:cstheme="minorHAnsi"/>
                <w:sz w:val="20"/>
              </w:rPr>
              <w:t xml:space="preserve"> it is important that women are given the same opportunities for men.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</w:rPr>
            </w:pPr>
            <w:proofErr w:type="gramStart"/>
            <w:r w:rsidRPr="003E7DF1">
              <w:rPr>
                <w:rFonts w:cstheme="minorHAnsi"/>
                <w:sz w:val="20"/>
              </w:rPr>
              <w:t>what</w:t>
            </w:r>
            <w:proofErr w:type="gramEnd"/>
            <w:r w:rsidRPr="003E7DF1">
              <w:rPr>
                <w:rFonts w:cstheme="minorHAnsi"/>
                <w:sz w:val="20"/>
              </w:rPr>
              <w:t xml:space="preserve"> could make it more difficult for them to succeed than for men.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Talk about Parliament, how laws are made and what a speaker in Parliament does. Talk about other roles such as the Chief Justice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Which body makes laws for the country?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Would you love to make laws for Ghana in future?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 xml:space="preserve">What do you need to do to </w:t>
            </w:r>
            <w:proofErr w:type="gramStart"/>
            <w:r w:rsidRPr="003E7DF1">
              <w:rPr>
                <w:rFonts w:cstheme="minorHAnsi"/>
                <w:sz w:val="20"/>
              </w:rPr>
              <w:t>became</w:t>
            </w:r>
            <w:proofErr w:type="gramEnd"/>
            <w:r w:rsidRPr="003E7DF1">
              <w:rPr>
                <w:rFonts w:cstheme="minorHAnsi"/>
                <w:sz w:val="20"/>
              </w:rPr>
              <w:t xml:space="preserve"> an MP.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3510" w:type="dxa"/>
            <w:gridSpan w:val="3"/>
          </w:tcPr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Brainstorm learners to talk on different job careers they know of.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Learners in groups, describe the job roles of the various careers identified.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784A6E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Who is a Speaker of Parliament?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Why is a Speaker of Parliament important in our country?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Laws made at the parliament house forms one document called?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Have learners give names of some prominent speakers of Parliament in the country.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 xml:space="preserve">Allow learners time to investigate more about the lives and achievements of these people.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3E7DF1">
              <w:rPr>
                <w:rFonts w:cstheme="minorHAnsi"/>
                <w:sz w:val="20"/>
                <w:szCs w:val="20"/>
                <w:u w:val="single"/>
              </w:rPr>
              <w:t xml:space="preserve">Assessment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>Ask learners to put the pictures of the speakers of parliament in chronological order according to their birthdates.</w:t>
            </w:r>
          </w:p>
        </w:tc>
        <w:tc>
          <w:tcPr>
            <w:tcW w:w="2520" w:type="dxa"/>
            <w:gridSpan w:val="2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3E7DF1">
              <w:rPr>
                <w:rFonts w:ascii="Gill Sans MT" w:hAnsi="Gill Sans MT" w:cstheme="minorHAnsi"/>
                <w:sz w:val="20"/>
                <w:u w:val="single"/>
              </w:rPr>
              <w:t>Home Work</w:t>
            </w: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t>Ask learners to speak to women at home and in their communities about their challenges, what life was like in the past for women, and so on</w:t>
            </w:r>
          </w:p>
        </w:tc>
      </w:tr>
      <w:tr w:rsidR="00784A6E" w:rsidRPr="003E7DF1" w:rsidTr="00A3698A">
        <w:tc>
          <w:tcPr>
            <w:tcW w:w="1080" w:type="dxa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50" w:type="dxa"/>
            <w:gridSpan w:val="3"/>
          </w:tcPr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 xml:space="preserve">Show learners videos, documentaries or read books about important women in Ghana’s past.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</w:p>
          <w:p w:rsidR="00784A6E" w:rsidRPr="003E7DF1" w:rsidRDefault="00784A6E" w:rsidP="00784A6E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</w:rPr>
            </w:pPr>
            <w:proofErr w:type="gramStart"/>
            <w:r w:rsidRPr="003E7DF1">
              <w:rPr>
                <w:rFonts w:cstheme="minorHAnsi"/>
                <w:sz w:val="20"/>
              </w:rPr>
              <w:t>why</w:t>
            </w:r>
            <w:proofErr w:type="gramEnd"/>
            <w:r w:rsidRPr="003E7DF1">
              <w:rPr>
                <w:rFonts w:cstheme="minorHAnsi"/>
                <w:sz w:val="20"/>
              </w:rPr>
              <w:t xml:space="preserve"> it is important that women are given the same opportunities for men.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1"/>
              </w:numPr>
              <w:ind w:left="162" w:hanging="162"/>
              <w:rPr>
                <w:rFonts w:cstheme="minorHAnsi"/>
                <w:sz w:val="20"/>
              </w:rPr>
            </w:pPr>
            <w:proofErr w:type="gramStart"/>
            <w:r w:rsidRPr="003E7DF1">
              <w:rPr>
                <w:rFonts w:cstheme="minorHAnsi"/>
                <w:sz w:val="20"/>
              </w:rPr>
              <w:lastRenderedPageBreak/>
              <w:t>what</w:t>
            </w:r>
            <w:proofErr w:type="gramEnd"/>
            <w:r w:rsidRPr="003E7DF1">
              <w:rPr>
                <w:rFonts w:cstheme="minorHAnsi"/>
                <w:sz w:val="20"/>
              </w:rPr>
              <w:t xml:space="preserve"> could make it more difficult for them to succeed than for men.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Talk about Parliament, how laws are made and what a speaker in Parliament does. Talk about other roles such as the Chief Justice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Which body makes laws for the country?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Would you love to make laws for Ghana in future?</w:t>
            </w:r>
          </w:p>
          <w:p w:rsidR="00784A6E" w:rsidRPr="003E7DF1" w:rsidRDefault="00784A6E" w:rsidP="00784A6E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 xml:space="preserve">What do you need to do to </w:t>
            </w:r>
            <w:proofErr w:type="gramStart"/>
            <w:r w:rsidRPr="003E7DF1">
              <w:rPr>
                <w:rFonts w:cstheme="minorHAnsi"/>
                <w:sz w:val="20"/>
              </w:rPr>
              <w:t>became</w:t>
            </w:r>
            <w:proofErr w:type="gramEnd"/>
            <w:r w:rsidRPr="003E7DF1">
              <w:rPr>
                <w:rFonts w:cstheme="minorHAnsi"/>
                <w:sz w:val="20"/>
              </w:rPr>
              <w:t xml:space="preserve"> an MP.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</w:rPr>
            </w:pPr>
            <w:r w:rsidRPr="003E7DF1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3510" w:type="dxa"/>
            <w:gridSpan w:val="3"/>
          </w:tcPr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3E7DF1">
              <w:rPr>
                <w:rFonts w:cstheme="minorHAnsi"/>
                <w:sz w:val="20"/>
                <w:szCs w:val="20"/>
              </w:rPr>
              <w:lastRenderedPageBreak/>
              <w:t xml:space="preserve">Guide learners to discuss Justice Joyce </w:t>
            </w:r>
            <w:proofErr w:type="spellStart"/>
            <w:r w:rsidRPr="003E7DF1">
              <w:rPr>
                <w:rFonts w:cstheme="minorHAnsi"/>
                <w:sz w:val="20"/>
                <w:szCs w:val="20"/>
              </w:rPr>
              <w:t>Bamford-Addo</w:t>
            </w:r>
            <w:proofErr w:type="spellEnd"/>
            <w:r w:rsidRPr="003E7DF1">
              <w:rPr>
                <w:rFonts w:cstheme="minorHAnsi"/>
                <w:sz w:val="20"/>
                <w:szCs w:val="20"/>
              </w:rPr>
              <w:t xml:space="preserve"> as the first female Speaker of Parliament</w:t>
            </w:r>
            <w:r w:rsidRPr="003E7DF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</w:p>
          <w:p w:rsidR="00784A6E" w:rsidRPr="0031618A" w:rsidRDefault="00784A6E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31618A">
              <w:rPr>
                <w:rFonts w:cstheme="minorHAnsi"/>
                <w:sz w:val="20"/>
                <w:szCs w:val="20"/>
                <w:u w:val="single"/>
              </w:rPr>
              <w:t xml:space="preserve">Rebecca </w:t>
            </w:r>
            <w:proofErr w:type="spellStart"/>
            <w:r w:rsidRPr="0031618A">
              <w:rPr>
                <w:rFonts w:cstheme="minorHAnsi"/>
                <w:sz w:val="20"/>
                <w:szCs w:val="20"/>
                <w:u w:val="single"/>
              </w:rPr>
              <w:t>Naa</w:t>
            </w:r>
            <w:proofErr w:type="spellEnd"/>
            <w:r w:rsidRPr="0031618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1618A">
              <w:rPr>
                <w:rFonts w:cstheme="minorHAnsi"/>
                <w:sz w:val="20"/>
                <w:szCs w:val="20"/>
                <w:u w:val="single"/>
              </w:rPr>
              <w:t>Dedei</w:t>
            </w:r>
            <w:proofErr w:type="spellEnd"/>
            <w:r w:rsidRPr="0031618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1618A">
              <w:rPr>
                <w:rFonts w:cstheme="minorHAnsi"/>
                <w:sz w:val="20"/>
                <w:szCs w:val="20"/>
                <w:u w:val="single"/>
              </w:rPr>
              <w:t>Aryeetey</w:t>
            </w:r>
            <w:proofErr w:type="spellEnd"/>
            <w:r w:rsidRPr="0031618A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:rsidR="00784A6E" w:rsidRPr="00D22738" w:rsidRDefault="00784A6E" w:rsidP="00A3698A">
            <w:pPr>
              <w:pStyle w:val="Default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D22738">
              <w:rPr>
                <w:rFonts w:cstheme="minorHAnsi"/>
                <w:i/>
                <w:sz w:val="20"/>
                <w:szCs w:val="20"/>
              </w:rPr>
              <w:t xml:space="preserve">Rebecca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Naa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Dedei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Aryeetey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 was born in 1923, at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Osu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 and grew up in James Town, Accra. After her primary education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Naa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 Dei went into the flour business. She became so </w:t>
            </w:r>
            <w:r w:rsidRPr="00D22738">
              <w:rPr>
                <w:rFonts w:cstheme="minorHAnsi"/>
                <w:i/>
                <w:sz w:val="20"/>
                <w:szCs w:val="20"/>
              </w:rPr>
              <w:lastRenderedPageBreak/>
              <w:t>wealthy and influential through her flour business which earned her the name “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Ashikishan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” a Ga word meaning flour. She became the first woman chief financier of the then CPP party led by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kwame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 Nkrumah. As a political activist of the CPP she campaigned and funded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nkrumah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 xml:space="preserve">. She is remembered by the double decker buses which were brought to Accra by harry sawyer. The buses were popularly known as “Auntie </w:t>
            </w:r>
            <w:proofErr w:type="spellStart"/>
            <w:r w:rsidRPr="00D22738">
              <w:rPr>
                <w:rFonts w:cstheme="minorHAnsi"/>
                <w:i/>
                <w:sz w:val="20"/>
                <w:szCs w:val="20"/>
              </w:rPr>
              <w:t>Dedei</w:t>
            </w:r>
            <w:proofErr w:type="spellEnd"/>
            <w:r w:rsidRPr="00D22738">
              <w:rPr>
                <w:rFonts w:cstheme="minorHAnsi"/>
                <w:i/>
                <w:sz w:val="20"/>
                <w:szCs w:val="20"/>
              </w:rPr>
              <w:t>” bus.</w:t>
            </w:r>
          </w:p>
          <w:p w:rsidR="00784A6E" w:rsidRPr="00D22738" w:rsidRDefault="00784A6E" w:rsidP="00A3698A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D22738">
              <w:rPr>
                <w:rFonts w:cstheme="minorHAnsi"/>
                <w:i/>
                <w:sz w:val="20"/>
                <w:szCs w:val="20"/>
              </w:rPr>
              <w:t>She also has her image on 50 pesewas coin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1618A">
              <w:rPr>
                <w:rFonts w:cstheme="minorHAnsi"/>
                <w:noProof/>
                <w:sz w:val="20"/>
              </w:rPr>
              <w:drawing>
                <wp:inline distT="0" distB="0" distL="0" distR="0" wp14:anchorId="01D3A4E0" wp14:editId="2F68E72A">
                  <wp:extent cx="1928968" cy="1160060"/>
                  <wp:effectExtent l="0" t="0" r="0" b="2540"/>
                  <wp:docPr id="2638" name="Picture 2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514_23422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129" cy="11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 xml:space="preserve">Using pictures, let learners retell the contributions of Joyce </w:t>
            </w:r>
            <w:proofErr w:type="spellStart"/>
            <w:r w:rsidRPr="003E7DF1">
              <w:rPr>
                <w:rFonts w:cstheme="minorHAnsi"/>
                <w:sz w:val="20"/>
                <w:szCs w:val="20"/>
              </w:rPr>
              <w:t>Bamford-Addo</w:t>
            </w:r>
            <w:proofErr w:type="spellEnd"/>
            <w:r w:rsidRPr="003E7DF1">
              <w:rPr>
                <w:rFonts w:cstheme="minorHAnsi"/>
                <w:sz w:val="20"/>
                <w:szCs w:val="20"/>
              </w:rPr>
              <w:t xml:space="preserve"> to national development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3E7DF1">
              <w:rPr>
                <w:rFonts w:cstheme="minorHAnsi"/>
                <w:sz w:val="20"/>
                <w:szCs w:val="20"/>
                <w:u w:val="single"/>
              </w:rPr>
              <w:t>Assessment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 xml:space="preserve">Think pair-share-activity: Individual learners identify a woman who they admire most in the community. </w:t>
            </w:r>
          </w:p>
          <w:p w:rsidR="00784A6E" w:rsidRPr="003E7DF1" w:rsidRDefault="00784A6E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E7DF1">
              <w:rPr>
                <w:rFonts w:cstheme="minorHAnsi"/>
                <w:sz w:val="20"/>
                <w:szCs w:val="20"/>
              </w:rPr>
              <w:t xml:space="preserve">They choose partners and discuss the reasons for their choice.   </w:t>
            </w:r>
          </w:p>
        </w:tc>
        <w:tc>
          <w:tcPr>
            <w:tcW w:w="2520" w:type="dxa"/>
            <w:gridSpan w:val="2"/>
          </w:tcPr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3E7DF1">
              <w:rPr>
                <w:rFonts w:ascii="Gill Sans MT" w:hAnsi="Gill Sans MT" w:cstheme="minorHAnsi"/>
                <w:sz w:val="20"/>
                <w:u w:val="single"/>
              </w:rPr>
              <w:t>Home Work</w:t>
            </w:r>
          </w:p>
          <w:p w:rsidR="00784A6E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 w:rsidRPr="003E7DF1">
              <w:rPr>
                <w:rFonts w:ascii="Gill Sans MT" w:hAnsi="Gill Sans MT" w:cstheme="minorHAnsi"/>
                <w:sz w:val="20"/>
              </w:rPr>
              <w:lastRenderedPageBreak/>
              <w:t>Ask learners to speak to women at home and in their communities about their challenges, what life was like in the past for women, and so on</w:t>
            </w:r>
          </w:p>
          <w:p w:rsidR="00784A6E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84A6E" w:rsidRDefault="00784A6E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84A6E" w:rsidRPr="002627B2" w:rsidRDefault="00784A6E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2627B2">
              <w:rPr>
                <w:rFonts w:ascii="Gill Sans MT" w:hAnsi="Gill Sans MT" w:cstheme="minorHAnsi"/>
                <w:sz w:val="20"/>
                <w:u w:val="single"/>
              </w:rPr>
              <w:t>Announce the next indicator</w:t>
            </w:r>
          </w:p>
          <w:p w:rsidR="00784A6E" w:rsidRPr="003E7DF1" w:rsidRDefault="00784A6E" w:rsidP="00A3698A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In our next lesson, we will identify more </w:t>
            </w:r>
            <w:r w:rsidRPr="003E7DF1">
              <w:rPr>
                <w:rFonts w:ascii="Gill Sans MT" w:hAnsi="Gill Sans MT" w:cstheme="minorHAnsi"/>
                <w:sz w:val="20"/>
                <w:szCs w:val="20"/>
              </w:rPr>
              <w:t>Ghanaian women who have made significant contri</w:t>
            </w:r>
            <w:r>
              <w:rPr>
                <w:rFonts w:ascii="Gill Sans MT" w:hAnsi="Gill Sans MT" w:cstheme="minorHAnsi"/>
                <w:sz w:val="20"/>
                <w:szCs w:val="20"/>
              </w:rPr>
              <w:t>butions to national development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02B8"/>
    <w:multiLevelType w:val="hybridMultilevel"/>
    <w:tmpl w:val="127A2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DF4F0D"/>
    <w:multiLevelType w:val="hybridMultilevel"/>
    <w:tmpl w:val="C1FA1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6E"/>
    <w:rsid w:val="00495A34"/>
    <w:rsid w:val="004A0A92"/>
    <w:rsid w:val="00602F45"/>
    <w:rsid w:val="00784A6E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54D2D-F494-4397-86A7-49B26058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6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A6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2025-04-26T08:30:00Z</dcterms:created>
  <dcterms:modified xsi:type="dcterms:W3CDTF">2025-04-26T08:30:00Z</dcterms:modified>
</cp:coreProperties>
</file>